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888BC" w14:textId="77777777" w:rsidR="008E0D36" w:rsidRPr="005A1E09" w:rsidRDefault="00000000" w:rsidP="000344F9">
      <w:pPr>
        <w:spacing w:line="204" w:lineRule="auto"/>
        <w:jc w:val="center"/>
        <w:rPr>
          <w:rFonts w:ascii="Times New Roman" w:hAnsi="Times New Roman"/>
          <w:b/>
          <w:color w:val="000000"/>
          <w:sz w:val="24"/>
        </w:rPr>
      </w:pPr>
      <w:r>
        <w:rPr>
          <w:rFonts w:ascii="Times New Roman" w:hAnsi="Times New Roman"/>
          <w:b/>
          <w:bCs/>
          <w:color w:val="000000"/>
          <w:sz w:val="24"/>
          <w:lang w:val="et"/>
        </w:rPr>
        <w:t>RESOLUTSIOON NR 265</w:t>
      </w:r>
    </w:p>
    <w:p w14:paraId="67726BF6" w14:textId="50DA1BE5" w:rsidR="008E0D36" w:rsidRPr="005A1E09" w:rsidRDefault="00000000" w:rsidP="000344F9">
      <w:pPr>
        <w:spacing w:before="288"/>
        <w:jc w:val="center"/>
        <w:rPr>
          <w:rFonts w:ascii="Times New Roman" w:hAnsi="Times New Roman"/>
          <w:b/>
          <w:color w:val="000000"/>
          <w:sz w:val="24"/>
        </w:rPr>
      </w:pPr>
      <w:r>
        <w:rPr>
          <w:rFonts w:ascii="Times New Roman" w:hAnsi="Times New Roman"/>
          <w:b/>
          <w:bCs/>
          <w:color w:val="000000"/>
          <w:sz w:val="24"/>
          <w:lang w:val="et"/>
        </w:rPr>
        <w:t>LUBATUD AKTSIAKAPITALI SUURENDAMINE JA AKTSIATE MÄRKIMINE</w:t>
      </w:r>
    </w:p>
    <w:p w14:paraId="2BA4AA24" w14:textId="77777777" w:rsidR="008E0D36" w:rsidRPr="005A1E09" w:rsidRDefault="00000000" w:rsidP="005A1E09">
      <w:pPr>
        <w:spacing w:before="864" w:line="199" w:lineRule="auto"/>
        <w:jc w:val="both"/>
        <w:rPr>
          <w:rFonts w:ascii="Times New Roman" w:hAnsi="Times New Roman"/>
          <w:b/>
          <w:color w:val="000000"/>
          <w:sz w:val="24"/>
        </w:rPr>
      </w:pPr>
      <w:r>
        <w:rPr>
          <w:rFonts w:ascii="Times New Roman" w:hAnsi="Times New Roman"/>
          <w:b/>
          <w:bCs/>
          <w:color w:val="000000"/>
          <w:sz w:val="24"/>
          <w:lang w:val="et"/>
        </w:rPr>
        <w:t>NÕUKOGU:</w:t>
      </w:r>
    </w:p>
    <w:p w14:paraId="671FDE86" w14:textId="77777777" w:rsidR="008E0D36" w:rsidRPr="005A1E09" w:rsidRDefault="00000000" w:rsidP="005A1E09">
      <w:pPr>
        <w:spacing w:before="288"/>
        <w:jc w:val="both"/>
        <w:rPr>
          <w:rFonts w:ascii="Times New Roman" w:hAnsi="Times New Roman"/>
          <w:color w:val="000000"/>
          <w:sz w:val="24"/>
        </w:rPr>
      </w:pPr>
      <w:r>
        <w:rPr>
          <w:rFonts w:ascii="Times New Roman" w:hAnsi="Times New Roman"/>
          <w:color w:val="000000"/>
          <w:sz w:val="24"/>
          <w:lang w:val="et"/>
        </w:rPr>
        <w:t>kinnitades veel kord aktsionäride pühendumust toetada Ukrainat vastuseks Vene Föderatsiooni sõjalisele sissetungile;</w:t>
      </w:r>
    </w:p>
    <w:p w14:paraId="4CA8A467" w14:textId="5151C613" w:rsidR="008E0D36" w:rsidRPr="005A1E09" w:rsidRDefault="00000000" w:rsidP="005A1E09">
      <w:pPr>
        <w:spacing w:before="252"/>
        <w:jc w:val="both"/>
        <w:rPr>
          <w:rFonts w:ascii="Times New Roman" w:hAnsi="Times New Roman"/>
          <w:color w:val="000000"/>
          <w:sz w:val="24"/>
        </w:rPr>
      </w:pPr>
      <w:r>
        <w:rPr>
          <w:rFonts w:ascii="Times New Roman" w:hAnsi="Times New Roman"/>
          <w:color w:val="000000"/>
          <w:sz w:val="24"/>
          <w:lang w:val="et"/>
        </w:rPr>
        <w:t>tuletades meelde resolutsiooni nr  258 „EBRD toetus Ukraina vastupidavusele ja ülesehitamisele: teekond edasi“ [</w:t>
      </w:r>
      <w:r>
        <w:rPr>
          <w:rFonts w:ascii="Times New Roman" w:hAnsi="Times New Roman"/>
          <w:i/>
          <w:iCs/>
          <w:color w:val="000000"/>
          <w:sz w:val="24"/>
          <w:lang w:val="et"/>
        </w:rPr>
        <w:t>EBRD’s Support for Resilience and Reconstruction in Ukraine: The Way Forward</w:t>
      </w:r>
      <w:r>
        <w:rPr>
          <w:rFonts w:ascii="Times New Roman" w:hAnsi="Times New Roman"/>
          <w:color w:val="000000"/>
          <w:sz w:val="24"/>
          <w:lang w:val="et"/>
        </w:rPr>
        <w:t>], millega tehti direktorite nõukogule ülesandeks esitada konkreetne ettepanek seoses panga Ukrainale pakutava toetuse kohaldamisala ja sissemakstud kapitali võimaliku suurendamisega;</w:t>
      </w:r>
    </w:p>
    <w:p w14:paraId="7CB7E891" w14:textId="77777777" w:rsidR="008E0D36" w:rsidRPr="005A1E09" w:rsidRDefault="00000000" w:rsidP="005A1E09">
      <w:pPr>
        <w:spacing w:before="288"/>
        <w:jc w:val="both"/>
        <w:rPr>
          <w:rFonts w:ascii="Times New Roman" w:hAnsi="Times New Roman"/>
          <w:color w:val="000000"/>
          <w:sz w:val="24"/>
        </w:rPr>
      </w:pPr>
      <w:r>
        <w:rPr>
          <w:rFonts w:ascii="Times New Roman" w:hAnsi="Times New Roman"/>
          <w:color w:val="000000"/>
          <w:sz w:val="24"/>
          <w:lang w:val="et"/>
        </w:rPr>
        <w:t>olles hoolikalt kaalunud direktorite nõukogu aruannet „Ettepanek sissemakstud kapitali suurendamiseks“ (edaspidi: aruanne);</w:t>
      </w:r>
    </w:p>
    <w:p w14:paraId="36620B1F" w14:textId="77777777" w:rsidR="008E0D36" w:rsidRPr="005A1E09" w:rsidRDefault="00000000" w:rsidP="005A1E09">
      <w:pPr>
        <w:spacing w:before="288"/>
        <w:jc w:val="both"/>
        <w:rPr>
          <w:rFonts w:ascii="Times New Roman" w:hAnsi="Times New Roman"/>
          <w:color w:val="000000"/>
          <w:sz w:val="24"/>
        </w:rPr>
      </w:pPr>
      <w:r>
        <w:rPr>
          <w:rFonts w:ascii="Times New Roman" w:hAnsi="Times New Roman"/>
          <w:color w:val="000000"/>
          <w:sz w:val="24"/>
          <w:lang w:val="et"/>
        </w:rPr>
        <w:t>toetades pangale kavandatud ülesandeid Ukraina toetamiseks tehtavate rahvusvaheliste jõupingutuste raames, säilitades ja rakendades panga ainulaadset mandaati ja ärimudelit;</w:t>
      </w:r>
    </w:p>
    <w:p w14:paraId="6A517542" w14:textId="77777777" w:rsidR="008E0D36" w:rsidRPr="005A1E09" w:rsidRDefault="00000000" w:rsidP="005A1E09">
      <w:pPr>
        <w:spacing w:before="288"/>
        <w:jc w:val="both"/>
        <w:rPr>
          <w:rFonts w:ascii="Times New Roman" w:hAnsi="Times New Roman"/>
          <w:color w:val="000000"/>
          <w:sz w:val="24"/>
        </w:rPr>
      </w:pPr>
      <w:r>
        <w:rPr>
          <w:rFonts w:ascii="Times New Roman" w:hAnsi="Times New Roman"/>
          <w:color w:val="000000"/>
          <w:sz w:val="24"/>
          <w:lang w:val="et"/>
        </w:rPr>
        <w:t>rõhutades panga rolli tähtsust seoses jätkuva toetusega kõigis panga sihtriikides kõige pakilisemate üleminekuprobleemide lahendamisele kooskõlas panga strateegilise suunaga;</w:t>
      </w:r>
    </w:p>
    <w:p w14:paraId="520C4C60" w14:textId="77777777" w:rsidR="008E0D36" w:rsidRPr="005A1E09" w:rsidRDefault="00000000" w:rsidP="005A1E09">
      <w:pPr>
        <w:spacing w:before="288"/>
        <w:jc w:val="both"/>
        <w:rPr>
          <w:rFonts w:ascii="Times New Roman" w:hAnsi="Times New Roman"/>
          <w:color w:val="000000"/>
          <w:sz w:val="24"/>
        </w:rPr>
      </w:pPr>
      <w:r>
        <w:rPr>
          <w:rFonts w:ascii="Times New Roman" w:hAnsi="Times New Roman"/>
          <w:color w:val="000000"/>
          <w:sz w:val="24"/>
          <w:lang w:val="et"/>
        </w:rPr>
        <w:t>nõustudes, et panga lubatud aktsiakapitali suurendamine sissemaksu teel on vajalik selleks, et pank saaks täita oma rolli Ukrainas, toetades samal ajal täielikult kõiki oma sihtriike;</w:t>
      </w:r>
    </w:p>
    <w:p w14:paraId="3CDAF231" w14:textId="77777777" w:rsidR="008E0D36" w:rsidRPr="005A1E09" w:rsidRDefault="00000000" w:rsidP="005A1E09">
      <w:pPr>
        <w:spacing w:before="252"/>
        <w:jc w:val="both"/>
        <w:rPr>
          <w:rFonts w:ascii="Times New Roman" w:hAnsi="Times New Roman"/>
          <w:color w:val="000000"/>
          <w:sz w:val="24"/>
        </w:rPr>
      </w:pPr>
      <w:r>
        <w:rPr>
          <w:rFonts w:ascii="Times New Roman" w:hAnsi="Times New Roman"/>
          <w:color w:val="000000"/>
          <w:sz w:val="24"/>
          <w:lang w:val="et"/>
        </w:rPr>
        <w:t>tervitades ja toetades panga konkreetseid ambitsioone seoses tema tööga Ukrainas, samuti lühi- ja pikaajaliste kohustuste võtmist panga jätkuva arengu nimel, nagu on kirjeldatud aruandes, ning</w:t>
      </w:r>
    </w:p>
    <w:p w14:paraId="368A0A2F" w14:textId="77777777" w:rsidR="008E0D36" w:rsidRPr="005A1E09" w:rsidRDefault="00000000" w:rsidP="005A1E09">
      <w:pPr>
        <w:spacing w:before="288"/>
        <w:jc w:val="both"/>
        <w:rPr>
          <w:rFonts w:ascii="Times New Roman" w:hAnsi="Times New Roman"/>
          <w:color w:val="000000"/>
          <w:sz w:val="24"/>
        </w:rPr>
      </w:pPr>
      <w:r>
        <w:rPr>
          <w:rFonts w:ascii="Times New Roman" w:hAnsi="Times New Roman"/>
          <w:color w:val="000000"/>
          <w:sz w:val="24"/>
          <w:lang w:val="et"/>
        </w:rPr>
        <w:t>arvestades panga pühendumust kasutada kapitaliressursse tõhusalt ja jätkata G20 kapitali adekvaatsuse raamistiku ülevaatuse tulemusena esitatud soovituste rakendamist, nagu on kirjeldatud aruandes,</w:t>
      </w:r>
    </w:p>
    <w:p w14:paraId="68B57261" w14:textId="77777777" w:rsidR="008E0D36" w:rsidRPr="005A1E09" w:rsidRDefault="00000000" w:rsidP="005A1E09">
      <w:pPr>
        <w:spacing w:before="324" w:line="204" w:lineRule="auto"/>
        <w:jc w:val="both"/>
        <w:rPr>
          <w:rFonts w:ascii="Times New Roman" w:hAnsi="Times New Roman"/>
          <w:b/>
          <w:color w:val="000000"/>
          <w:sz w:val="24"/>
        </w:rPr>
      </w:pPr>
      <w:r>
        <w:rPr>
          <w:rFonts w:ascii="Times New Roman" w:hAnsi="Times New Roman"/>
          <w:b/>
          <w:bCs/>
          <w:color w:val="000000"/>
          <w:sz w:val="24"/>
          <w:lang w:val="et"/>
        </w:rPr>
        <w:t>OTSUSTAB KÄESOLEVAGA JÄRGMIST.</w:t>
      </w:r>
    </w:p>
    <w:p w14:paraId="13F1F41E" w14:textId="77777777" w:rsidR="008E0D36" w:rsidRPr="005A1E09" w:rsidRDefault="00000000" w:rsidP="000344F9">
      <w:pPr>
        <w:spacing w:before="288"/>
        <w:jc w:val="both"/>
        <w:rPr>
          <w:rFonts w:ascii="Times New Roman" w:hAnsi="Times New Roman"/>
          <w:b/>
          <w:color w:val="000000"/>
          <w:sz w:val="24"/>
        </w:rPr>
      </w:pPr>
      <w:r>
        <w:rPr>
          <w:rFonts w:ascii="Times New Roman" w:hAnsi="Times New Roman"/>
          <w:b/>
          <w:bCs/>
          <w:color w:val="000000"/>
          <w:sz w:val="24"/>
          <w:lang w:val="et"/>
        </w:rPr>
        <w:t>1.</w:t>
      </w:r>
      <w:r>
        <w:rPr>
          <w:rFonts w:ascii="Times New Roman" w:hAnsi="Times New Roman"/>
          <w:b/>
          <w:bCs/>
          <w:color w:val="000000"/>
          <w:sz w:val="24"/>
          <w:lang w:val="et"/>
        </w:rPr>
        <w:tab/>
        <w:t>Lubatud aktsiakapitali suurendamine</w:t>
      </w:r>
    </w:p>
    <w:p w14:paraId="442EE68F" w14:textId="5703BEEB" w:rsidR="008E0D36" w:rsidRPr="005A1E09" w:rsidRDefault="00000000" w:rsidP="005A1E09">
      <w:pPr>
        <w:spacing w:before="144"/>
        <w:jc w:val="both"/>
        <w:rPr>
          <w:rFonts w:ascii="Times New Roman" w:hAnsi="Times New Roman"/>
          <w:color w:val="000000"/>
          <w:sz w:val="24"/>
        </w:rPr>
      </w:pPr>
      <w:r>
        <w:rPr>
          <w:rFonts w:ascii="Times New Roman" w:hAnsi="Times New Roman"/>
          <w:color w:val="000000"/>
          <w:sz w:val="24"/>
          <w:lang w:val="et"/>
        </w:rPr>
        <w:t>Panga lubatud aktsiakapitali suurendatakse alates 31. detsembrist 2024 (edaspidi: jõustumiskuupäev) 400 000 sissemakstava aktsia võrra, kusjuures iga aktsia nimiväärtus on 10 000 eurot.</w:t>
      </w:r>
    </w:p>
    <w:p w14:paraId="35CB34C9" w14:textId="77777777" w:rsidR="000344F9" w:rsidRDefault="000344F9" w:rsidP="005A1E09">
      <w:pPr>
        <w:tabs>
          <w:tab w:val="right" w:pos="2123"/>
        </w:tabs>
        <w:jc w:val="both"/>
        <w:rPr>
          <w:rFonts w:ascii="Times New Roman" w:hAnsi="Times New Roman"/>
          <w:b/>
          <w:bCs/>
          <w:color w:val="000000"/>
          <w:sz w:val="24"/>
          <w:lang w:val="et"/>
        </w:rPr>
      </w:pPr>
    </w:p>
    <w:p w14:paraId="64E65F7E" w14:textId="77777777" w:rsidR="000344F9" w:rsidRDefault="000344F9" w:rsidP="005A1E09">
      <w:pPr>
        <w:tabs>
          <w:tab w:val="right" w:pos="2123"/>
        </w:tabs>
        <w:jc w:val="both"/>
        <w:rPr>
          <w:rFonts w:ascii="Times New Roman" w:hAnsi="Times New Roman"/>
          <w:b/>
          <w:bCs/>
          <w:color w:val="000000"/>
          <w:sz w:val="24"/>
          <w:lang w:val="et"/>
        </w:rPr>
      </w:pPr>
    </w:p>
    <w:p w14:paraId="5DFFEA33" w14:textId="77777777" w:rsidR="000344F9" w:rsidRDefault="000344F9" w:rsidP="005A1E09">
      <w:pPr>
        <w:tabs>
          <w:tab w:val="right" w:pos="2123"/>
        </w:tabs>
        <w:jc w:val="both"/>
        <w:rPr>
          <w:rFonts w:ascii="Times New Roman" w:hAnsi="Times New Roman"/>
          <w:b/>
          <w:bCs/>
          <w:color w:val="000000"/>
          <w:sz w:val="24"/>
          <w:lang w:val="et"/>
        </w:rPr>
      </w:pPr>
    </w:p>
    <w:p w14:paraId="4FE916A2" w14:textId="74EA5D08" w:rsidR="008E0D36" w:rsidRPr="005A1E09" w:rsidRDefault="00000000" w:rsidP="000344F9">
      <w:pPr>
        <w:jc w:val="both"/>
        <w:rPr>
          <w:rFonts w:ascii="Times New Roman" w:hAnsi="Times New Roman"/>
          <w:b/>
          <w:color w:val="000000"/>
          <w:sz w:val="24"/>
        </w:rPr>
      </w:pPr>
      <w:r>
        <w:rPr>
          <w:rFonts w:ascii="Times New Roman" w:hAnsi="Times New Roman"/>
          <w:b/>
          <w:bCs/>
          <w:color w:val="000000"/>
          <w:sz w:val="24"/>
          <w:lang w:val="et"/>
        </w:rPr>
        <w:lastRenderedPageBreak/>
        <w:t>2.</w:t>
      </w:r>
      <w:r>
        <w:rPr>
          <w:rFonts w:ascii="Times New Roman" w:hAnsi="Times New Roman"/>
          <w:b/>
          <w:bCs/>
          <w:color w:val="000000"/>
          <w:sz w:val="24"/>
          <w:lang w:val="et"/>
        </w:rPr>
        <w:tab/>
        <w:t>Aktsiate märkimine</w:t>
      </w:r>
    </w:p>
    <w:p w14:paraId="3687AAC7" w14:textId="75FAF0A7" w:rsidR="008E0D36" w:rsidRPr="005A1E09" w:rsidRDefault="00000000" w:rsidP="005A1E09">
      <w:pPr>
        <w:spacing w:before="288"/>
        <w:jc w:val="both"/>
        <w:rPr>
          <w:rFonts w:ascii="Times New Roman" w:hAnsi="Times New Roman"/>
          <w:color w:val="000000"/>
          <w:sz w:val="24"/>
        </w:rPr>
      </w:pPr>
      <w:r>
        <w:rPr>
          <w:rFonts w:ascii="Times New Roman" w:hAnsi="Times New Roman"/>
          <w:color w:val="000000"/>
          <w:sz w:val="24"/>
          <w:lang w:val="et"/>
        </w:rPr>
        <w:t>a)</w:t>
      </w:r>
      <w:r>
        <w:rPr>
          <w:rFonts w:ascii="Times New Roman" w:hAnsi="Times New Roman"/>
          <w:color w:val="000000"/>
          <w:sz w:val="24"/>
          <w:lang w:val="et"/>
        </w:rPr>
        <w:tab/>
        <w:t>Vastavalt panga asutamislepingu (edaspidi: asutamisleping) artikli 5 lõikele 3 on igal liikmel käesoleva resolutsiooni vastuvõtmise kuupäeva seisuga õigus märkida aktsiaid vastavalt nimiväärtusele proportsionaalselt aktsiakapitali suurenemisega, mis on samaväärne tema märgitud aktsiakapitali ning pangale vahetult enne käesoleva resolutsiooni kuupäeva kuulunud kogu märgitud aktsiakapitali proportsiooniga, ümardatuna allapoole lähima aktsiani. Iga selline märkimine tehakse kooskõlas selles resolutsioonis sätestatud tingimustega.</w:t>
      </w:r>
    </w:p>
    <w:p w14:paraId="1BF618FC" w14:textId="12A5B45A" w:rsidR="008E0D36" w:rsidRPr="005A1E09" w:rsidRDefault="00000000" w:rsidP="000344F9">
      <w:pPr>
        <w:spacing w:before="288" w:after="120"/>
        <w:jc w:val="both"/>
        <w:rPr>
          <w:rFonts w:ascii="Times New Roman" w:hAnsi="Times New Roman"/>
          <w:color w:val="000000"/>
          <w:sz w:val="24"/>
        </w:rPr>
      </w:pPr>
      <w:r>
        <w:rPr>
          <w:rFonts w:ascii="Times New Roman" w:hAnsi="Times New Roman"/>
          <w:color w:val="000000"/>
          <w:sz w:val="24"/>
          <w:lang w:val="et"/>
        </w:rPr>
        <w:t>b)</w:t>
      </w:r>
      <w:r>
        <w:rPr>
          <w:rFonts w:ascii="Times New Roman" w:hAnsi="Times New Roman"/>
          <w:color w:val="000000"/>
          <w:sz w:val="24"/>
          <w:lang w:val="et"/>
        </w:rPr>
        <w:tab/>
        <w:t>Iga liige, kes soovib vastavalt käesolevale resolutsioonile aktsiaid märkida, deponeerib pangas 30. juunil 2025 või enne seda või kui direktorite nõukogu 30. juunil 2025 või enne seda nii kindlaks määrab, mõnel hilisemal kuupäeval, kuid hiljemalt 31. detsembril 2025, pangale vastuvõetavas vormis järgmised dokumendid:</w:t>
      </w:r>
    </w:p>
    <w:p w14:paraId="4B294AAC" w14:textId="37075D6C" w:rsidR="008E0D36" w:rsidRPr="000344F9" w:rsidRDefault="00000000" w:rsidP="000344F9">
      <w:pPr>
        <w:numPr>
          <w:ilvl w:val="0"/>
          <w:numId w:val="1"/>
        </w:numPr>
        <w:tabs>
          <w:tab w:val="clear" w:pos="720"/>
          <w:tab w:val="decimal" w:pos="1152"/>
          <w:tab w:val="right" w:pos="9030"/>
        </w:tabs>
        <w:spacing w:before="72"/>
        <w:ind w:left="1152" w:hanging="720"/>
        <w:jc w:val="both"/>
        <w:rPr>
          <w:rFonts w:ascii="Times New Roman" w:hAnsi="Times New Roman"/>
          <w:color w:val="000000"/>
          <w:sz w:val="24"/>
        </w:rPr>
      </w:pPr>
      <w:r w:rsidRPr="000344F9">
        <w:rPr>
          <w:rFonts w:ascii="Times New Roman" w:hAnsi="Times New Roman"/>
          <w:color w:val="000000"/>
          <w:sz w:val="24"/>
          <w:lang w:val="et"/>
        </w:rPr>
        <w:t>märkimiskiri, milles liige märgib kirjas nimetatud sissenõutavate aktsiate arvu;</w:t>
      </w:r>
    </w:p>
    <w:p w14:paraId="0A227B22" w14:textId="32DEDEA6" w:rsidR="008E0D36" w:rsidRPr="005A1E09" w:rsidRDefault="00000000" w:rsidP="005A1E09">
      <w:pPr>
        <w:numPr>
          <w:ilvl w:val="0"/>
          <w:numId w:val="1"/>
        </w:numPr>
        <w:tabs>
          <w:tab w:val="clear" w:pos="720"/>
          <w:tab w:val="decimal" w:pos="1152"/>
          <w:tab w:val="right" w:pos="9030"/>
        </w:tabs>
        <w:spacing w:before="72"/>
        <w:ind w:left="1152" w:hanging="720"/>
        <w:jc w:val="both"/>
        <w:rPr>
          <w:rFonts w:ascii="Times New Roman" w:hAnsi="Times New Roman"/>
          <w:color w:val="000000"/>
          <w:sz w:val="24"/>
        </w:rPr>
      </w:pPr>
      <w:r>
        <w:rPr>
          <w:rFonts w:ascii="Times New Roman" w:hAnsi="Times New Roman"/>
          <w:color w:val="000000"/>
          <w:sz w:val="24"/>
          <w:lang w:val="et"/>
        </w:rPr>
        <w:t>avaldus, milles kinnitatakse, et liige on nõuetekohaselt võtnud kõik seadusandlikud ja muud riigi tasandil vajalikud meetmed aktsiate märkimiseks, ning</w:t>
      </w:r>
    </w:p>
    <w:p w14:paraId="67DA883D" w14:textId="77777777" w:rsidR="008E0D36" w:rsidRPr="005A1E09" w:rsidRDefault="00000000" w:rsidP="005A1E09">
      <w:pPr>
        <w:numPr>
          <w:ilvl w:val="0"/>
          <w:numId w:val="1"/>
        </w:numPr>
        <w:tabs>
          <w:tab w:val="clear" w:pos="720"/>
          <w:tab w:val="decimal" w:pos="1152"/>
        </w:tabs>
        <w:spacing w:before="36"/>
        <w:ind w:left="1152" w:hanging="720"/>
        <w:jc w:val="both"/>
        <w:rPr>
          <w:rFonts w:ascii="Times New Roman" w:hAnsi="Times New Roman"/>
          <w:color w:val="000000"/>
          <w:sz w:val="24"/>
        </w:rPr>
      </w:pPr>
      <w:r>
        <w:rPr>
          <w:rFonts w:ascii="Times New Roman" w:hAnsi="Times New Roman"/>
          <w:color w:val="000000"/>
          <w:sz w:val="24"/>
          <w:lang w:val="et"/>
        </w:rPr>
        <w:t>kinnitus, et liige on valmis sellise teabe esitama, kui pank peaks seda seoses aktsiate märkimisega taotlema.</w:t>
      </w:r>
    </w:p>
    <w:p w14:paraId="10758BC2" w14:textId="0C67DE7E" w:rsidR="008E0D36" w:rsidRPr="005A1E09" w:rsidRDefault="00000000" w:rsidP="005A1E09">
      <w:pPr>
        <w:spacing w:before="216"/>
        <w:jc w:val="both"/>
        <w:rPr>
          <w:rFonts w:ascii="Times New Roman" w:hAnsi="Times New Roman"/>
          <w:color w:val="000000"/>
          <w:sz w:val="24"/>
        </w:rPr>
      </w:pPr>
      <w:r>
        <w:rPr>
          <w:rFonts w:ascii="Times New Roman" w:hAnsi="Times New Roman"/>
          <w:color w:val="000000"/>
          <w:sz w:val="24"/>
          <w:lang w:val="et"/>
        </w:rPr>
        <w:t>c)</w:t>
      </w:r>
      <w:r>
        <w:rPr>
          <w:rFonts w:ascii="Times New Roman" w:hAnsi="Times New Roman"/>
          <w:color w:val="000000"/>
          <w:sz w:val="24"/>
          <w:lang w:val="et"/>
        </w:rPr>
        <w:tab/>
        <w:t xml:space="preserve">Iga märkimiskiri jõustub ja sellekohane märkimine loetakse toimunuks jõustumiskuupäeval või kuupäeval, mil pank teatab aktsiad märkinud liikmele, et liikme poolt vastavalt alapunktile b deponeeritud dokumendid rahuldavad panka, olenevalt sellest, </w:t>
      </w:r>
      <w:r w:rsidR="000344F9">
        <w:rPr>
          <w:rFonts w:ascii="Times New Roman" w:hAnsi="Times New Roman"/>
          <w:color w:val="000000"/>
          <w:sz w:val="24"/>
          <w:lang w:val="et"/>
        </w:rPr>
        <w:t>milline</w:t>
      </w:r>
      <w:r>
        <w:rPr>
          <w:rFonts w:ascii="Times New Roman" w:hAnsi="Times New Roman"/>
          <w:color w:val="000000"/>
          <w:sz w:val="24"/>
          <w:lang w:val="et"/>
        </w:rPr>
        <w:t xml:space="preserve"> kuupäev on hilisem.</w:t>
      </w:r>
    </w:p>
    <w:p w14:paraId="181478D4" w14:textId="354AE822" w:rsidR="008E0D36" w:rsidRPr="005A1E09" w:rsidRDefault="00000000" w:rsidP="005A1E09">
      <w:pPr>
        <w:spacing w:before="288"/>
        <w:jc w:val="both"/>
        <w:rPr>
          <w:rFonts w:ascii="Times New Roman" w:hAnsi="Times New Roman"/>
          <w:color w:val="000000"/>
          <w:sz w:val="24"/>
        </w:rPr>
      </w:pPr>
      <w:r>
        <w:rPr>
          <w:rFonts w:ascii="Times New Roman" w:hAnsi="Times New Roman"/>
          <w:color w:val="000000"/>
          <w:sz w:val="24"/>
          <w:lang w:val="et"/>
        </w:rPr>
        <w:t>d)</w:t>
      </w:r>
      <w:r>
        <w:rPr>
          <w:rFonts w:ascii="Times New Roman" w:hAnsi="Times New Roman"/>
          <w:color w:val="000000"/>
          <w:sz w:val="24"/>
          <w:lang w:val="et"/>
        </w:rPr>
        <w:tab/>
        <w:t>Käesoleva resolutsiooniga märkimiseks lubatud aktsiad, mida märkimistähtaja möödumise ajaks ei ole käesoleva resolutsiooni kohaselt märgitud, jäetakse pangale alles ja reserveeritakse uutele liikmetele esmaseks märkimiseks ja teatavate liikmete märgitud mahu erakorraliseks suurendamiseks, nagu panga nõukogu võib asutamislepingu artikli 5 lõigete 2 ja 4 alusel otsustada.</w:t>
      </w:r>
    </w:p>
    <w:p w14:paraId="239BA299" w14:textId="58CDEDC3" w:rsidR="008E0D36" w:rsidRPr="005A1E09" w:rsidRDefault="00000000" w:rsidP="005A1E09">
      <w:pPr>
        <w:spacing w:before="252"/>
        <w:jc w:val="both"/>
        <w:rPr>
          <w:rFonts w:ascii="Times New Roman" w:hAnsi="Times New Roman"/>
          <w:color w:val="000000"/>
          <w:sz w:val="24"/>
        </w:rPr>
      </w:pPr>
      <w:r>
        <w:rPr>
          <w:rFonts w:ascii="Times New Roman" w:hAnsi="Times New Roman"/>
          <w:color w:val="000000"/>
          <w:sz w:val="24"/>
          <w:lang w:val="et"/>
        </w:rPr>
        <w:t>e)</w:t>
      </w:r>
      <w:r>
        <w:rPr>
          <w:rFonts w:ascii="Times New Roman" w:hAnsi="Times New Roman"/>
          <w:color w:val="000000"/>
          <w:sz w:val="24"/>
          <w:lang w:val="et"/>
        </w:rPr>
        <w:tab/>
        <w:t>Alltoodud maksetingimuste kohaldamist arvestamata loovutatakse kõik käesoleva resolutsiooni alusel märgitud aktsiad, mille eest ei ole tasutud, [1. mail 2033] ilma vastutasuta automaatselt pangale ning vähendatakse vastavalt asjaomas(t)e liikme(te) osalust. Kõik sellised loovutatud aktsiad jäetakse samuti pangale alles ning reserveeritakse uutele liikmetele esmaseks märkimiseks ja teatavate liikmete märgitud mahu erakorraliseks suurendamiseks, nagu panga nõukogu võib asutamislepingu artikli 5 lõigete 2 ja 4 alusel otsustada.</w:t>
      </w:r>
    </w:p>
    <w:p w14:paraId="5038DC0D" w14:textId="77777777" w:rsidR="005A1E09" w:rsidRDefault="005A1E09" w:rsidP="005A1E09">
      <w:pPr>
        <w:tabs>
          <w:tab w:val="right" w:pos="2353"/>
        </w:tabs>
        <w:jc w:val="both"/>
        <w:rPr>
          <w:rFonts w:ascii="Times New Roman" w:hAnsi="Times New Roman"/>
          <w:b/>
          <w:color w:val="000000"/>
          <w:sz w:val="24"/>
        </w:rPr>
      </w:pPr>
    </w:p>
    <w:p w14:paraId="7EBD918F" w14:textId="6F2742C1" w:rsidR="008E0D36" w:rsidRPr="005A1E09" w:rsidRDefault="00000000" w:rsidP="005A1E09">
      <w:pPr>
        <w:tabs>
          <w:tab w:val="right" w:pos="2353"/>
        </w:tabs>
        <w:jc w:val="both"/>
        <w:rPr>
          <w:rFonts w:ascii="Times New Roman" w:hAnsi="Times New Roman"/>
          <w:b/>
          <w:color w:val="000000"/>
          <w:sz w:val="24"/>
        </w:rPr>
      </w:pPr>
      <w:r>
        <w:rPr>
          <w:rFonts w:ascii="Times New Roman" w:hAnsi="Times New Roman"/>
          <w:b/>
          <w:bCs/>
          <w:color w:val="000000"/>
          <w:sz w:val="24"/>
          <w:lang w:val="et"/>
        </w:rPr>
        <w:t>3.</w:t>
      </w:r>
      <w:r>
        <w:rPr>
          <w:rFonts w:ascii="Times New Roman" w:hAnsi="Times New Roman"/>
          <w:b/>
          <w:bCs/>
          <w:color w:val="000000"/>
          <w:sz w:val="24"/>
          <w:lang w:val="et"/>
        </w:rPr>
        <w:tab/>
        <w:t>Maksetingimused</w:t>
      </w:r>
    </w:p>
    <w:p w14:paraId="4986274A" w14:textId="33DC18F6" w:rsidR="008E0D36" w:rsidRPr="000344F9" w:rsidRDefault="00000000" w:rsidP="000344F9">
      <w:pPr>
        <w:pStyle w:val="Loendilik"/>
        <w:numPr>
          <w:ilvl w:val="0"/>
          <w:numId w:val="2"/>
        </w:numPr>
        <w:tabs>
          <w:tab w:val="decimal" w:pos="720"/>
          <w:tab w:val="decimal" w:pos="792"/>
        </w:tabs>
        <w:spacing w:before="216"/>
        <w:jc w:val="both"/>
        <w:rPr>
          <w:rFonts w:ascii="Times New Roman" w:hAnsi="Times New Roman"/>
          <w:color w:val="000000"/>
          <w:sz w:val="24"/>
        </w:rPr>
      </w:pPr>
      <w:r w:rsidRPr="000344F9">
        <w:rPr>
          <w:rFonts w:ascii="Times New Roman" w:hAnsi="Times New Roman"/>
          <w:color w:val="000000"/>
          <w:sz w:val="24"/>
          <w:lang w:val="et"/>
        </w:rPr>
        <w:t xml:space="preserve">Käesoleva resolutsiooni alusel märgitud sissemakstavate aktsiate eest tasutakse viie võrdse aastase osamaksena. Iga liige teeb esimese osamakse 30. aprillil 2025 või enne seda või 60 päeva pärast tema märkimiskirja jõustumist olenevalt sellest, </w:t>
      </w:r>
      <w:r w:rsidR="000344F9">
        <w:rPr>
          <w:rFonts w:ascii="Times New Roman" w:hAnsi="Times New Roman"/>
          <w:color w:val="000000"/>
          <w:sz w:val="24"/>
          <w:lang w:val="et"/>
        </w:rPr>
        <w:t>milline kuupäev</w:t>
      </w:r>
      <w:r w:rsidRPr="000344F9">
        <w:rPr>
          <w:rFonts w:ascii="Times New Roman" w:hAnsi="Times New Roman"/>
          <w:color w:val="000000"/>
          <w:sz w:val="24"/>
          <w:lang w:val="et"/>
        </w:rPr>
        <w:t xml:space="preserve"> on hilisem. Ülejäänud neli osamakset tasutakse hiljemalt vastava arvu aastate möödumisel 30. aprillist 2025. Pärast pangaga konsulteerimist võib liige teha makseid pangale soodsamatel tingimustel, kui on ette nähtud käesoleva punkti eelmistes sätetes. Liige võib </w:t>
      </w:r>
      <w:r w:rsidRPr="000344F9">
        <w:rPr>
          <w:rFonts w:ascii="Times New Roman" w:hAnsi="Times New Roman"/>
          <w:color w:val="000000"/>
          <w:sz w:val="24"/>
          <w:lang w:val="et"/>
        </w:rPr>
        <w:lastRenderedPageBreak/>
        <w:t>täita kõik oma maksekohustused või osa nendest üleandmisõiguseta intressideta lihtvekslitega, mille pank saab nõudmisel lunastada nimiväärtuses graafiku alusel, mis langeb kokku eespool nimetatud osamaksete tähtpäevadega.</w:t>
      </w:r>
    </w:p>
    <w:p w14:paraId="3A9E23F7" w14:textId="77777777" w:rsidR="008E0D36" w:rsidRPr="005A1E09" w:rsidRDefault="00000000" w:rsidP="005A1E09">
      <w:pPr>
        <w:numPr>
          <w:ilvl w:val="0"/>
          <w:numId w:val="2"/>
        </w:numPr>
        <w:tabs>
          <w:tab w:val="decimal" w:pos="792"/>
        </w:tabs>
        <w:spacing w:before="288" w:after="2196"/>
        <w:ind w:left="0" w:firstLine="72"/>
        <w:jc w:val="both"/>
        <w:rPr>
          <w:rFonts w:ascii="Times New Roman" w:hAnsi="Times New Roman"/>
          <w:color w:val="000000"/>
          <w:sz w:val="24"/>
        </w:rPr>
      </w:pPr>
      <w:r>
        <w:rPr>
          <w:rFonts w:ascii="Times New Roman" w:hAnsi="Times New Roman"/>
          <w:color w:val="000000"/>
          <w:sz w:val="24"/>
          <w:lang w:val="et"/>
        </w:rPr>
        <w:t>Kõik liikme maksekohustused seoses aktsiate märkimisega vastavalt käesolevale resolutsioonile täidetakse eurodes (EUR), USA dollarites (USD) või Jaapani jeenides (JPY), kahel viimasel juhul Euroopa Keskpanga noteeritud asjaomase valuuta keskmise vahetuskursi alusel euro suhtes ajavahemikul 1. juuli 2023 kuni 30. september 2023 (kaasa arvatud), nimelt 1 EUR = 1,0844 USD ja 1 EUR = 157,25 JPY. Liikmed, kes soovivad täita oma maksekohustusi Ameerika Ühendriikide dollarites või Jaapani jeenides, peavad oma märkimiskirjas tegema sellekohase tagasivõetamatu valiku, mida kohaldatakse kõikidele maksetele.</w:t>
      </w:r>
    </w:p>
    <w:p w14:paraId="5FD68BA7" w14:textId="77777777" w:rsidR="008E0D36" w:rsidRPr="005A1E09" w:rsidRDefault="00000000" w:rsidP="005A1E09">
      <w:pPr>
        <w:jc w:val="both"/>
        <w:rPr>
          <w:rFonts w:ascii="Times New Roman" w:hAnsi="Times New Roman"/>
          <w:color w:val="000000"/>
          <w:sz w:val="24"/>
        </w:rPr>
      </w:pPr>
      <w:r>
        <w:rPr>
          <w:rFonts w:ascii="Times New Roman" w:hAnsi="Times New Roman"/>
          <w:color w:val="000000"/>
          <w:sz w:val="24"/>
          <w:lang w:val="et"/>
        </w:rPr>
        <w:t>(Vastu võetud 15. detsembril 2023)</w:t>
      </w:r>
    </w:p>
    <w:sectPr w:rsidR="008E0D36" w:rsidRPr="005A1E09" w:rsidSect="000344F9">
      <w:pgSz w:w="11918" w:h="16854"/>
      <w:pgMar w:top="1496" w:right="1365" w:bottom="2268" w:left="14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133C5E"/>
    <w:multiLevelType w:val="multilevel"/>
    <w:tmpl w:val="C2B06776"/>
    <w:lvl w:ilvl="0">
      <w:start w:val="1"/>
      <w:numFmt w:val="lowerRoman"/>
      <w:lvlText w:val="%1)"/>
      <w:lvlJc w:val="left"/>
      <w:pPr>
        <w:tabs>
          <w:tab w:val="decimal" w:pos="720"/>
        </w:tabs>
        <w:ind w:left="720"/>
      </w:pPr>
      <w:rPr>
        <w:rFonts w:ascii="Times New Roman" w:eastAsiaTheme="minorHAnsi" w:hAnsi="Times New Roman" w:cstheme="minorBidi"/>
        <w:strike w:val="0"/>
        <w:color w:val="000000"/>
        <w:spacing w:val="-1"/>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CCD09F2"/>
    <w:multiLevelType w:val="multilevel"/>
    <w:tmpl w:val="9620BA0A"/>
    <w:lvl w:ilvl="0">
      <w:start w:val="1"/>
      <w:numFmt w:val="lowerLetter"/>
      <w:lvlText w:val="%1)"/>
      <w:lvlJc w:val="left"/>
      <w:pPr>
        <w:tabs>
          <w:tab w:val="decimal" w:pos="72"/>
        </w:tabs>
        <w:ind w:left="72"/>
      </w:pPr>
      <w:rPr>
        <w:rFonts w:ascii="Times New Roman" w:eastAsiaTheme="minorHAnsi" w:hAnsi="Times New Roman" w:cstheme="minorBidi"/>
        <w:strike w:val="0"/>
        <w:color w:val="000000"/>
        <w:spacing w:val="-6"/>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12257931">
    <w:abstractNumId w:val="0"/>
  </w:num>
  <w:num w:numId="2" w16cid:durableId="1887141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E0D36"/>
    <w:rsid w:val="000344F9"/>
    <w:rsid w:val="005A1E09"/>
    <w:rsid w:val="008E0D36"/>
    <w:rsid w:val="00910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CEA53"/>
  <w15:docId w15:val="{E9CC8E38-FF22-403F-AAF3-E6031B8F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0344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874</Words>
  <Characters>4826</Characters>
  <Application>Microsoft Office Word</Application>
  <DocSecurity>0</DocSecurity>
  <Lines>58</Lines>
  <Paragraphs>17</Paragraphs>
  <ScaleCrop>false</ScaleCrop>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Katrin Kask</cp:lastModifiedBy>
  <cp:revision>3</cp:revision>
  <dcterms:created xsi:type="dcterms:W3CDTF">2024-10-28T06:43:00Z</dcterms:created>
  <dcterms:modified xsi:type="dcterms:W3CDTF">2024-10-28T12:53:00Z</dcterms:modified>
</cp:coreProperties>
</file>